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789F9" w14:textId="77777777" w:rsidR="00E834C4" w:rsidRDefault="00B60B88">
      <w:bookmarkStart w:id="0" w:name="_GoBack"/>
      <w:bookmarkEnd w:id="0"/>
    </w:p>
    <w:tbl>
      <w:tblPr>
        <w:tblW w:w="5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158"/>
        <w:gridCol w:w="310"/>
        <w:gridCol w:w="1056"/>
        <w:gridCol w:w="1765"/>
        <w:gridCol w:w="1852"/>
        <w:gridCol w:w="875"/>
        <w:gridCol w:w="1469"/>
        <w:gridCol w:w="605"/>
      </w:tblGrid>
      <w:tr w:rsidR="001872D9" w:rsidRPr="00A22864" w14:paraId="48DD4490" w14:textId="77777777" w:rsidTr="00501C38">
        <w:trPr>
          <w:trHeight w:val="227"/>
          <w:jc w:val="center"/>
        </w:trPr>
        <w:tc>
          <w:tcPr>
            <w:tcW w:w="1758" w:type="pct"/>
            <w:gridSpan w:val="4"/>
            <w:vAlign w:val="center"/>
          </w:tcPr>
          <w:p w14:paraId="29D4EFF9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42" w:type="pct"/>
            <w:gridSpan w:val="5"/>
            <w:vAlign w:val="center"/>
          </w:tcPr>
          <w:p w14:paraId="6906E71D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b/>
                <w:lang w:val="hr-HR"/>
              </w:rPr>
              <w:t>Оливера Станојловић</w:t>
            </w:r>
          </w:p>
        </w:tc>
      </w:tr>
      <w:tr w:rsidR="001872D9" w:rsidRPr="00A22864" w14:paraId="7479A885" w14:textId="77777777" w:rsidTr="00501C38">
        <w:trPr>
          <w:trHeight w:val="227"/>
          <w:jc w:val="center"/>
        </w:trPr>
        <w:tc>
          <w:tcPr>
            <w:tcW w:w="1758" w:type="pct"/>
            <w:gridSpan w:val="4"/>
            <w:vAlign w:val="center"/>
          </w:tcPr>
          <w:p w14:paraId="6B9C19E8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42" w:type="pct"/>
            <w:gridSpan w:val="5"/>
            <w:vAlign w:val="center"/>
          </w:tcPr>
          <w:p w14:paraId="5E9AD210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1872D9" w:rsidRPr="00A22864" w14:paraId="27933738" w14:textId="77777777" w:rsidTr="00501C38">
        <w:trPr>
          <w:trHeight w:val="227"/>
          <w:jc w:val="center"/>
        </w:trPr>
        <w:tc>
          <w:tcPr>
            <w:tcW w:w="1758" w:type="pct"/>
            <w:gridSpan w:val="4"/>
            <w:vAlign w:val="center"/>
          </w:tcPr>
          <w:p w14:paraId="7A42E80E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242" w:type="pct"/>
            <w:gridSpan w:val="5"/>
            <w:vAlign w:val="center"/>
          </w:tcPr>
          <w:p w14:paraId="73CD5718" w14:textId="77777777" w:rsidR="001872D9" w:rsidRPr="001A6B22" w:rsidRDefault="001872D9" w:rsidP="008F5958">
            <w:pPr>
              <w:spacing w:after="60"/>
              <w:rPr>
                <w:lang w:val="hr-HR"/>
              </w:rPr>
            </w:pPr>
            <w:r>
              <w:rPr>
                <w:lang w:val="sr-Cyrl-CS"/>
              </w:rPr>
              <w:t>Медицинска фи</w:t>
            </w:r>
            <w:r>
              <w:rPr>
                <w:lang w:val="hr-HR"/>
              </w:rPr>
              <w:t>зиологија</w:t>
            </w:r>
          </w:p>
        </w:tc>
      </w:tr>
      <w:tr w:rsidR="001872D9" w:rsidRPr="00A22864" w14:paraId="1CF623FF" w14:textId="77777777" w:rsidTr="00501C38">
        <w:trPr>
          <w:trHeight w:val="969"/>
          <w:jc w:val="center"/>
        </w:trPr>
        <w:tc>
          <w:tcPr>
            <w:tcW w:w="1171" w:type="pct"/>
            <w:gridSpan w:val="3"/>
            <w:vAlign w:val="center"/>
          </w:tcPr>
          <w:p w14:paraId="55BA30CA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87" w:type="pct"/>
            <w:vAlign w:val="center"/>
          </w:tcPr>
          <w:p w14:paraId="62EEA03B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4" w:type="pct"/>
            <w:vAlign w:val="center"/>
          </w:tcPr>
          <w:p w14:paraId="7785D205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63D6FACE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4960ADBE" w14:textId="77777777" w:rsidR="001872D9" w:rsidRPr="00646624" w:rsidRDefault="001872D9" w:rsidP="008F5958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1872D9" w:rsidRPr="00A22864" w14:paraId="6DCF109B" w14:textId="77777777" w:rsidTr="00501C38">
        <w:trPr>
          <w:trHeight w:val="227"/>
          <w:jc w:val="center"/>
        </w:trPr>
        <w:tc>
          <w:tcPr>
            <w:tcW w:w="1171" w:type="pct"/>
            <w:gridSpan w:val="3"/>
            <w:vAlign w:val="center"/>
          </w:tcPr>
          <w:p w14:paraId="29CFBC8A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87" w:type="pct"/>
            <w:vAlign w:val="center"/>
          </w:tcPr>
          <w:p w14:paraId="2180B7E0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954" w:type="pct"/>
            <w:vAlign w:val="center"/>
          </w:tcPr>
          <w:p w14:paraId="621AD9A0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3B1BB361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30BD6B6D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14:paraId="58F10D08" w14:textId="77777777" w:rsidTr="00501C38">
        <w:trPr>
          <w:trHeight w:val="227"/>
          <w:jc w:val="center"/>
        </w:trPr>
        <w:tc>
          <w:tcPr>
            <w:tcW w:w="1171" w:type="pct"/>
            <w:gridSpan w:val="3"/>
            <w:vAlign w:val="center"/>
          </w:tcPr>
          <w:p w14:paraId="3BBD0C9C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87" w:type="pct"/>
            <w:vAlign w:val="center"/>
          </w:tcPr>
          <w:p w14:paraId="5E9991B7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954" w:type="pct"/>
            <w:vAlign w:val="center"/>
          </w:tcPr>
          <w:p w14:paraId="4477F98A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49ACF7BA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0BA8772F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</w:tr>
      <w:tr w:rsidR="001872D9" w:rsidRPr="00A22864" w14:paraId="2974FF0C" w14:textId="77777777" w:rsidTr="00501C38">
        <w:trPr>
          <w:trHeight w:val="325"/>
          <w:jc w:val="center"/>
        </w:trPr>
        <w:tc>
          <w:tcPr>
            <w:tcW w:w="1171" w:type="pct"/>
            <w:gridSpan w:val="3"/>
            <w:vAlign w:val="center"/>
          </w:tcPr>
          <w:p w14:paraId="328DC645" w14:textId="77777777" w:rsidR="001872D9" w:rsidRPr="00646624" w:rsidRDefault="001872D9" w:rsidP="008F5958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87" w:type="pct"/>
            <w:vAlign w:val="center"/>
          </w:tcPr>
          <w:p w14:paraId="03FC2128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954" w:type="pct"/>
            <w:vAlign w:val="center"/>
          </w:tcPr>
          <w:p w14:paraId="7A90B812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1CF281C1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1E687C4B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14:paraId="65364B19" w14:textId="77777777" w:rsidTr="00501C38">
        <w:trPr>
          <w:trHeight w:val="227"/>
          <w:jc w:val="center"/>
        </w:trPr>
        <w:tc>
          <w:tcPr>
            <w:tcW w:w="1171" w:type="pct"/>
            <w:gridSpan w:val="3"/>
            <w:vAlign w:val="center"/>
          </w:tcPr>
          <w:p w14:paraId="086932E0" w14:textId="77777777" w:rsidR="001872D9" w:rsidRDefault="001872D9" w:rsidP="008F5958">
            <w:pPr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87" w:type="pct"/>
            <w:vAlign w:val="center"/>
          </w:tcPr>
          <w:p w14:paraId="46D161BD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954" w:type="pct"/>
            <w:vAlign w:val="center"/>
          </w:tcPr>
          <w:p w14:paraId="699F697F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239F252D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2B61E260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</w:tr>
      <w:tr w:rsidR="001872D9" w:rsidRPr="00A22864" w14:paraId="04F7E2A0" w14:textId="77777777" w:rsidTr="00501C38">
        <w:trPr>
          <w:trHeight w:val="227"/>
          <w:jc w:val="center"/>
        </w:trPr>
        <w:tc>
          <w:tcPr>
            <w:tcW w:w="1171" w:type="pct"/>
            <w:gridSpan w:val="3"/>
            <w:vAlign w:val="center"/>
          </w:tcPr>
          <w:p w14:paraId="6EEBF032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87" w:type="pct"/>
            <w:vAlign w:val="center"/>
          </w:tcPr>
          <w:p w14:paraId="6C6AA081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954" w:type="pct"/>
            <w:vAlign w:val="center"/>
          </w:tcPr>
          <w:p w14:paraId="519C55E5" w14:textId="77777777"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1174" w:type="pct"/>
            <w:gridSpan w:val="2"/>
            <w:shd w:val="clear" w:color="auto" w:fill="auto"/>
            <w:vAlign w:val="center"/>
          </w:tcPr>
          <w:p w14:paraId="759814B8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14" w:type="pct"/>
            <w:gridSpan w:val="2"/>
            <w:shd w:val="clear" w:color="auto" w:fill="auto"/>
            <w:vAlign w:val="center"/>
          </w:tcPr>
          <w:p w14:paraId="665FD193" w14:textId="77777777"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14:paraId="70BBC3D0" w14:textId="77777777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4BDCF05" w14:textId="77777777" w:rsidR="001872D9" w:rsidRPr="00646624" w:rsidRDefault="001872D9" w:rsidP="008F5958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1872D9" w:rsidRPr="00A22864" w14:paraId="53DD962F" w14:textId="77777777" w:rsidTr="00501C38">
        <w:trPr>
          <w:trHeight w:val="255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E53E9F6" w14:textId="77777777" w:rsidR="001872D9" w:rsidRPr="00646624" w:rsidRDefault="001872D9" w:rsidP="008F5958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44375AF" w14:textId="77777777" w:rsidR="001872D9" w:rsidRPr="00646624" w:rsidRDefault="001872D9" w:rsidP="008F5958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4031" w:type="pct"/>
            <w:gridSpan w:val="7"/>
            <w:vAlign w:val="center"/>
          </w:tcPr>
          <w:p w14:paraId="4B068308" w14:textId="77777777" w:rsidR="001872D9" w:rsidRPr="00646624" w:rsidRDefault="001872D9" w:rsidP="008F5958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1872D9" w:rsidRPr="00A22864" w14:paraId="54D090D8" w14:textId="77777777" w:rsidTr="00501C38">
        <w:trPr>
          <w:trHeight w:val="22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6D75F77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3F7642A1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  <w:vAlign w:val="center"/>
          </w:tcPr>
          <w:p w14:paraId="36E6F1A1" w14:textId="77777777" w:rsidR="001872D9" w:rsidRPr="00782868" w:rsidRDefault="001872D9" w:rsidP="008F5958">
            <w:pPr>
              <w:rPr>
                <w:lang w:val="hr-HR"/>
              </w:rPr>
            </w:pPr>
            <w:r>
              <w:rPr>
                <w:lang w:val="hr-HR"/>
              </w:rPr>
              <w:t>Увод у научни</w:t>
            </w:r>
            <w:r>
              <w:rPr>
                <w:lang w:val="sr-Cyrl-CS"/>
              </w:rPr>
              <w:t xml:space="preserve"> </w:t>
            </w:r>
            <w:r>
              <w:rPr>
                <w:lang w:val="hr-HR"/>
              </w:rPr>
              <w:t>рад</w:t>
            </w:r>
          </w:p>
        </w:tc>
      </w:tr>
      <w:tr w:rsidR="001872D9" w:rsidRPr="00A22864" w14:paraId="03506E24" w14:textId="77777777" w:rsidTr="00501C38">
        <w:trPr>
          <w:trHeight w:val="22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05182C3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321259F1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  <w:vAlign w:val="center"/>
          </w:tcPr>
          <w:p w14:paraId="051149FF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Хомеостатски системи</w:t>
            </w:r>
          </w:p>
        </w:tc>
      </w:tr>
      <w:tr w:rsidR="001872D9" w:rsidRPr="00A22864" w14:paraId="091B38E1" w14:textId="77777777" w:rsidTr="00501C38">
        <w:trPr>
          <w:trHeight w:val="22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F9E1EE3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3013D312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  <w:vAlign w:val="center"/>
          </w:tcPr>
          <w:p w14:paraId="0395138A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Неурофизиологија </w:t>
            </w:r>
          </w:p>
        </w:tc>
      </w:tr>
      <w:tr w:rsidR="001872D9" w:rsidRPr="00A22864" w14:paraId="1B638E71" w14:textId="77777777" w:rsidTr="00501C38">
        <w:trPr>
          <w:trHeight w:val="241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461B580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37CDE51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  <w:vAlign w:val="center"/>
          </w:tcPr>
          <w:p w14:paraId="4869BC24" w14:textId="77777777" w:rsidR="001872D9" w:rsidRPr="008A4243" w:rsidRDefault="001872D9" w:rsidP="008F5958">
            <w:pPr>
              <w:rPr>
                <w:lang w:val="hr-HR"/>
              </w:rPr>
            </w:pPr>
            <w:r>
              <w:rPr>
                <w:lang w:val="hr-HR"/>
              </w:rPr>
              <w:t>Транслациона неурофизиологија</w:t>
            </w:r>
          </w:p>
        </w:tc>
      </w:tr>
      <w:tr w:rsidR="001872D9" w:rsidRPr="00A22864" w14:paraId="1BE4CFE6" w14:textId="77777777" w:rsidTr="00501C38">
        <w:trPr>
          <w:trHeight w:val="22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555C44F7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FCE8F3F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</w:tcPr>
          <w:p w14:paraId="425A43B8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hr-HR"/>
              </w:rPr>
              <w:t>Морфологија, ембриологија и физиологија хумане репродукције</w:t>
            </w:r>
          </w:p>
        </w:tc>
      </w:tr>
      <w:tr w:rsidR="001872D9" w:rsidRPr="00A22864" w14:paraId="5E9C9AB7" w14:textId="77777777" w:rsidTr="00501C38">
        <w:trPr>
          <w:trHeight w:val="255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4086D2B" w14:textId="77777777"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250D074" w14:textId="77777777"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31" w:type="pct"/>
            <w:gridSpan w:val="7"/>
          </w:tcPr>
          <w:p w14:paraId="3159D712" w14:textId="77777777" w:rsidR="001872D9" w:rsidRPr="006D0A7A" w:rsidRDefault="001872D9" w:rsidP="008F5958">
            <w:pPr>
              <w:rPr>
                <w:lang w:val="en-US"/>
              </w:rPr>
            </w:pPr>
            <w:r>
              <w:rPr>
                <w:lang w:val="hr-HR"/>
              </w:rPr>
              <w:t>Неуробиофизика</w:t>
            </w:r>
          </w:p>
        </w:tc>
      </w:tr>
      <w:tr w:rsidR="001872D9" w:rsidRPr="00A22864" w14:paraId="4049AD83" w14:textId="77777777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8E83BC4" w14:textId="77777777" w:rsidR="001872D9" w:rsidRPr="00A22864" w:rsidRDefault="001872D9" w:rsidP="008F5958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1872D9" w:rsidRPr="00A22864" w14:paraId="31D0569E" w14:textId="77777777" w:rsidTr="00501C38">
        <w:trPr>
          <w:trHeight w:val="535"/>
          <w:jc w:val="center"/>
        </w:trPr>
        <w:tc>
          <w:tcPr>
            <w:tcW w:w="297" w:type="pct"/>
            <w:vAlign w:val="center"/>
          </w:tcPr>
          <w:p w14:paraId="6592563A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3A02CE88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 w:rsidRPr="00C365FD">
              <w:rPr>
                <w:szCs w:val="16"/>
              </w:rPr>
              <w:t xml:space="preserve">Hrnčić D, Rašić-Marković A, Djuric D, Šušić V, </w:t>
            </w:r>
            <w:r w:rsidRPr="00C365FD">
              <w:rPr>
                <w:b/>
                <w:szCs w:val="16"/>
              </w:rPr>
              <w:t>Stanojlović O</w:t>
            </w:r>
            <w:r w:rsidRPr="00C365FD">
              <w:rPr>
                <w:szCs w:val="16"/>
              </w:rPr>
              <w:t>. The role of nitric oxide in convulsions induced by lindane in rats. Food and Chemical Toxicology 2011; 49(4):947-954</w:t>
            </w:r>
          </w:p>
        </w:tc>
        <w:tc>
          <w:tcPr>
            <w:tcW w:w="314" w:type="pct"/>
            <w:vAlign w:val="center"/>
          </w:tcPr>
          <w:p w14:paraId="18B9FA9F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357742A9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2097AF5C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762F2C98" w14:textId="77777777" w:rsidR="001872D9" w:rsidRPr="00C365FD" w:rsidRDefault="001872D9" w:rsidP="008F5958">
            <w:pPr>
              <w:spacing w:after="60"/>
              <w:rPr>
                <w:lang w:val="sr-Cyrl-CS"/>
              </w:rPr>
            </w:pPr>
            <w:r w:rsidRPr="00C365FD">
              <w:rPr>
                <w:lang w:val="sr-Cyrl-CS"/>
              </w:rPr>
              <w:t xml:space="preserve">Mladenović D, Krstić D, Colović M, Radosavljević T, Rasić-Marković A, Hrncić D, Macut D, </w:t>
            </w:r>
            <w:r w:rsidRPr="00401347">
              <w:rPr>
                <w:b/>
                <w:lang w:val="sr-Cyrl-CS"/>
              </w:rPr>
              <w:t>Stanojlović O</w:t>
            </w:r>
            <w:r w:rsidRPr="00C365FD">
              <w:rPr>
                <w:lang w:val="sr-Cyrl-CS"/>
              </w:rPr>
              <w:t>. Different sensitivity of various brain structures tothioacetamide-indu</w:t>
            </w:r>
            <w:r>
              <w:rPr>
                <w:lang w:val="sr-Cyrl-CS"/>
              </w:rPr>
              <w:t>ced lipid peroxidation. Medl Chem 2012;</w:t>
            </w:r>
          </w:p>
        </w:tc>
        <w:tc>
          <w:tcPr>
            <w:tcW w:w="314" w:type="pct"/>
            <w:vAlign w:val="center"/>
          </w:tcPr>
          <w:p w14:paraId="0ACEAAB3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2880C83C" w14:textId="77777777" w:rsidTr="00501C38">
        <w:trPr>
          <w:trHeight w:val="241"/>
          <w:jc w:val="center"/>
        </w:trPr>
        <w:tc>
          <w:tcPr>
            <w:tcW w:w="297" w:type="pct"/>
            <w:vAlign w:val="center"/>
          </w:tcPr>
          <w:p w14:paraId="3B4518A0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64CE73AF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Radosavljević T, Hrnčić D, Rašić-Marković A, Puškaš N, Maksić N,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Behavioral and electroencephalographic manifestations of thioacetamide-induced encephalopathy in rats. Canadian Journal of Physiology and Pharmacology 2012;90(9):1219-27.</w:t>
            </w:r>
          </w:p>
        </w:tc>
        <w:tc>
          <w:tcPr>
            <w:tcW w:w="314" w:type="pct"/>
            <w:vAlign w:val="center"/>
          </w:tcPr>
          <w:p w14:paraId="5F38FE4D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1ACA1132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6F8E6DBA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461460CC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Krstić D, Macut Dj, Šušić V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Inhibition of the neuronal nitric oxide synthase potentiates homocysteine thiolactone – induced seizures in adult rats. M</w:t>
            </w:r>
            <w:r>
              <w:rPr>
                <w:lang w:val="sr-Cyrl-CS"/>
              </w:rPr>
              <w:t>ed Chem 2012;</w:t>
            </w:r>
          </w:p>
        </w:tc>
        <w:tc>
          <w:tcPr>
            <w:tcW w:w="314" w:type="pct"/>
            <w:vAlign w:val="center"/>
          </w:tcPr>
          <w:p w14:paraId="16D23F10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1B47C510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55027079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59A1AC78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, Nikolić T, Hrnčić D, Radonjić N, Rašić-Marković A, MladenovićD, Petronijević N. Ontogenetic influence on rat susceptibility to lindane seizure after pretreatment with phencyclidine. Environmental Toxicology and Pharmacology 2013;35(2):161-70.</w:t>
            </w:r>
          </w:p>
        </w:tc>
        <w:tc>
          <w:tcPr>
            <w:tcW w:w="314" w:type="pct"/>
            <w:vAlign w:val="center"/>
          </w:tcPr>
          <w:p w14:paraId="2A62619E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6CE9508E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2B5FC869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14983692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Macut-Bjekic J, Šušić V,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Paradoxical sleep deprivation potentiates epilepsy induced by homocysteine th</w:t>
            </w:r>
            <w:r>
              <w:rPr>
                <w:lang w:val="sr-Cyrl-CS"/>
              </w:rPr>
              <w:t xml:space="preserve">iolactone in rats. Exp </w:t>
            </w:r>
            <w:r w:rsidRPr="00401347">
              <w:rPr>
                <w:lang w:val="sr-Cyrl-CS"/>
              </w:rPr>
              <w:t>Biology and Medicine 2013;238(1)77-83</w:t>
            </w:r>
          </w:p>
        </w:tc>
        <w:tc>
          <w:tcPr>
            <w:tcW w:w="314" w:type="pct"/>
            <w:vAlign w:val="center"/>
          </w:tcPr>
          <w:p w14:paraId="2E722B0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3A39F074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4DC44D73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7EDC03F9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Hrnčić D, Petronijević N, Jevtić G, Radosavljević T, Rasic-Marković A, Puškaš N, Maksić N, </w:t>
            </w:r>
            <w:r w:rsidRPr="00401347">
              <w:rPr>
                <w:b/>
                <w:lang w:val="sr-Cyrl-CS"/>
              </w:rPr>
              <w:t>Stanojlovic O.</w:t>
            </w:r>
            <w:r w:rsidRPr="00401347">
              <w:rPr>
                <w:lang w:val="sr-Cyrl-CS"/>
              </w:rPr>
              <w:t xml:space="preserve"> Finasteride improves motor, EEG and cellular changes in rat brain in thioacetamide-induced hepatic encephalopathy. Am J Physiol Gastrointest Liver Physiol. 2014; 307(9)G931-40 </w:t>
            </w:r>
          </w:p>
        </w:tc>
        <w:tc>
          <w:tcPr>
            <w:tcW w:w="314" w:type="pct"/>
            <w:vAlign w:val="center"/>
          </w:tcPr>
          <w:p w14:paraId="5991676F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15C43FBF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5BCA77E4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0166594C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Leković J, Čolović M, Krstić D, Macut D, Šušić V,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Exercise decreases susceptibility to homocysteine seizures: the role of oxidati</w:t>
            </w:r>
            <w:r>
              <w:rPr>
                <w:lang w:val="sr-Cyrl-CS"/>
              </w:rPr>
              <w:t xml:space="preserve">ve stress. Int J Sport Med </w:t>
            </w:r>
            <w:r w:rsidRPr="00401347">
              <w:rPr>
                <w:lang w:val="sr-Cyrl-CS"/>
              </w:rPr>
              <w:t xml:space="preserve">2014, </w:t>
            </w:r>
          </w:p>
        </w:tc>
        <w:tc>
          <w:tcPr>
            <w:tcW w:w="314" w:type="pct"/>
            <w:vAlign w:val="center"/>
          </w:tcPr>
          <w:p w14:paraId="4E7C6890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20B5D3CB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24CE42C1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17E39AB7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Petronijević N, Stojković T, Velimirović M, Jevtić G, Hrnčić D, Radosavljević T, Rašić-Marković A, Maksić N,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 xml:space="preserve">. Finasteride has regionally different effects on brain oxidative stress and acetylcholinesterase activity in acute thioacetamide-induced hepatic encephalopathy in rats. PLoS One. 2015;10(8):e0134434. </w:t>
            </w:r>
          </w:p>
        </w:tc>
        <w:tc>
          <w:tcPr>
            <w:tcW w:w="314" w:type="pct"/>
            <w:vAlign w:val="center"/>
          </w:tcPr>
          <w:p w14:paraId="11B32597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4387BA0D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7A8AE69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3DBD1283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Rašić-Marković A, Rankov - Petrovic B, Hrnčić D, Krstic D, Colovic M, Macut Dj,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effect of subchronic supplementation with folic acid on homocysteine induced seizures. Acta Physiologica Hungarica 2015; 120(2):151-162.</w:t>
            </w:r>
          </w:p>
        </w:tc>
        <w:tc>
          <w:tcPr>
            <w:tcW w:w="314" w:type="pct"/>
            <w:vAlign w:val="center"/>
          </w:tcPr>
          <w:p w14:paraId="197BF58C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14:paraId="333E5BAD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48F9556C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11.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204EDBC4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Hrnčić D, Rašić-Marković A, Macut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Influence of Finasteride on Mean and Relative Spectral Density of EEG Bands in Rat Model of Thioacetamide-Induced Hepatic Encephalopathy. Neurotoxicology Research 2016 30(2):150-8</w:t>
            </w:r>
          </w:p>
        </w:tc>
        <w:tc>
          <w:tcPr>
            <w:tcW w:w="314" w:type="pct"/>
            <w:vAlign w:val="center"/>
          </w:tcPr>
          <w:p w14:paraId="0C51A547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5D1AF699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7A4FCF3D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12.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62CE5DBB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Hrncic D, Mikić J, Rasic-Markovic A, Velimirović M, Stojković T, Obrenović R, Rankov-Petrović B, Šušić V, Djuric D, Petronijević N,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. Anxiety-related behavior in hyperhomocysteinemia induced by methionine nutritional overload in rats: role of the brain oxidative stress. Canadian Journal of Physiology and Pharmacology 2016, 94(10):1074-1082</w:t>
            </w:r>
          </w:p>
        </w:tc>
        <w:tc>
          <w:tcPr>
            <w:tcW w:w="314" w:type="pct"/>
            <w:vAlign w:val="center"/>
          </w:tcPr>
          <w:p w14:paraId="21EEB177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14:paraId="5629ED75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6E7339A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13.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55778EFD" w14:textId="77777777" w:rsidR="001872D9" w:rsidRPr="00401347" w:rsidRDefault="001872D9" w:rsidP="008F5958">
            <w:r w:rsidRPr="00401347">
              <w:t xml:space="preserve">Rasic-Markovic A, Hrncic D, Krstic D, Colovic M, Djuric E, Rankov-Petrovic B, Susic V, </w:t>
            </w:r>
            <w:r w:rsidRPr="00401347">
              <w:rPr>
                <w:b/>
              </w:rPr>
              <w:t>Stanojlovic O,</w:t>
            </w:r>
            <w:r w:rsidRPr="00401347">
              <w:t xml:space="preserve"> Djuric D. The effect of subchronic supplementation with folic acid and l-arginine on homocysteine-induced seizures. Canadian Journal of Physiology and Pharmacology 2016; 94(10)1083-1089</w:t>
            </w:r>
          </w:p>
        </w:tc>
        <w:tc>
          <w:tcPr>
            <w:tcW w:w="314" w:type="pct"/>
            <w:vAlign w:val="center"/>
          </w:tcPr>
          <w:p w14:paraId="66B5592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14:paraId="1E76F481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21877580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14.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64B37ABA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Grubač Ž, Rašić-Marković A, Šutulović N, Šušić V, Bjekić-Macut J,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Sleep disruption increases seizure susceptibility: Behavioral and EEG evaluation of an</w:t>
            </w:r>
            <w:r w:rsidRPr="00401347">
              <w:rPr>
                <w:lang w:val="sr-Cyrl-CS"/>
              </w:rPr>
              <w:cr/>
              <w:t>experimental model of sleep apnea. Physiology and Behavavior. 2016;155:188-194.</w:t>
            </w:r>
          </w:p>
        </w:tc>
        <w:tc>
          <w:tcPr>
            <w:tcW w:w="314" w:type="pct"/>
            <w:vAlign w:val="center"/>
          </w:tcPr>
          <w:p w14:paraId="5478197F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4E56C39F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548ECAC2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050562C6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Rasic-Markovic A, Macut D, Mladenovic D, Susic V, Djuric D,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. Sulfur - Containing Amino Acids In Seizures: Current State Of The Art. Current Medicinal Chemistry 2018; 25(3):378-390,</w:t>
            </w:r>
          </w:p>
        </w:tc>
        <w:tc>
          <w:tcPr>
            <w:tcW w:w="314" w:type="pct"/>
            <w:vAlign w:val="center"/>
          </w:tcPr>
          <w:p w14:paraId="3AAB07CB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762F6865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719B9289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16.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7851818F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Radosavljević T, Hrnčić D, Rasic-Markovic A,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effects of dietary methionine restriction on the function and metabolic reprogramming in the liver and brain - implications for longevity. Rev Neurosciences. 2019 Feb 28. pii:/j/revneuro.ahead-of- print/</w:t>
            </w:r>
          </w:p>
        </w:tc>
        <w:tc>
          <w:tcPr>
            <w:tcW w:w="314" w:type="pct"/>
            <w:vAlign w:val="center"/>
          </w:tcPr>
          <w:p w14:paraId="69E44B73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0D2EE2E4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13C4E0EE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17.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02F5D638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Rankov Petrovic B, Hrncic D, Mladenovic D, Simic T, Suvakov S, Jovanovic Dj, Puskas N, Zaletel I, Velimirovic M, Cirkovic V, Macut Dj,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, Rasic-Markovic A. Prenatal androgenization induces anxiety-like behavior in female rats, associated with reduction of inhibitory interneurons and increased BDNF in hippocampus and cortex. Biomedical Reseach International 2019; 2019:3426092.</w:t>
            </w:r>
          </w:p>
        </w:tc>
        <w:tc>
          <w:tcPr>
            <w:tcW w:w="314" w:type="pct"/>
            <w:vAlign w:val="center"/>
          </w:tcPr>
          <w:p w14:paraId="2C27C7F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14:paraId="489CF4FA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5AC309FC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18.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0762FB7E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Grubac Z, Sutulovic N, Ademovic A, Velimirovic M, Rasic-Markovic A, Macut D, Petronijevic N,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, Hrncic D. Short-term sleep fragmentation enhances anxiety-related behavior: The role of hormonal alterations. PLoS One. 2019</w:t>
            </w:r>
          </w:p>
        </w:tc>
        <w:tc>
          <w:tcPr>
            <w:tcW w:w="314" w:type="pct"/>
            <w:vAlign w:val="center"/>
          </w:tcPr>
          <w:p w14:paraId="7B56B64F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4E0207A8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486EF37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19.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637ECB22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Šutulović N, Grubač Ž, Šuvakov S, Jerotić Đ, Puškaš N, Macut Đ, Rašić A, Simić T,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, Hrnčić D. Experimental chronic prostatitis/chronic pelvic pain syndrome increases anxiety-like behavior: the role of brain oxidative stress, serum corticosterone and hippocampal parvalbumin- positive interneurons, Oxidativе Medicine and Cellular Longevity 2021, Article ID 6687493, 17 pages</w:t>
            </w:r>
          </w:p>
        </w:tc>
        <w:tc>
          <w:tcPr>
            <w:tcW w:w="314" w:type="pct"/>
            <w:vAlign w:val="center"/>
          </w:tcPr>
          <w:p w14:paraId="1243CC51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3D0F9780" w14:textId="77777777" w:rsidTr="00501C38">
        <w:trPr>
          <w:trHeight w:val="227"/>
          <w:jc w:val="center"/>
        </w:trPr>
        <w:tc>
          <w:tcPr>
            <w:tcW w:w="297" w:type="pct"/>
            <w:vAlign w:val="center"/>
          </w:tcPr>
          <w:p w14:paraId="3EEC95C4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20.</w:t>
            </w:r>
          </w:p>
        </w:tc>
        <w:tc>
          <w:tcPr>
            <w:tcW w:w="4389" w:type="pct"/>
            <w:gridSpan w:val="7"/>
            <w:shd w:val="clear" w:color="auto" w:fill="auto"/>
            <w:vAlign w:val="center"/>
          </w:tcPr>
          <w:p w14:paraId="153A62F6" w14:textId="77777777"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Grubač Ž, Šutulović N, Šuvakov S, Jerotić D, Puškaš N, Macut D, Rašić-Marković A, Simić T, </w:t>
            </w:r>
            <w:r w:rsidRPr="00401347">
              <w:rPr>
                <w:b/>
                <w:lang w:val="sr-Cyrl-CS"/>
              </w:rPr>
              <w:t>Stanojlović O</w:t>
            </w:r>
            <w:r w:rsidRPr="00401347">
              <w:rPr>
                <w:lang w:val="sr-Cyrl-CS"/>
              </w:rPr>
              <w:t>, Hrnčić D. Anxiogenic Potential of Experimental Sleep Fragmentation Is Duration-Dependent and Mediated via Oxidative Stress State. Oxid Med Cell Longev. 2021 Aug 21;2021:2262913.</w:t>
            </w:r>
          </w:p>
        </w:tc>
        <w:tc>
          <w:tcPr>
            <w:tcW w:w="314" w:type="pct"/>
            <w:vAlign w:val="center"/>
          </w:tcPr>
          <w:p w14:paraId="7BF33A46" w14:textId="77777777"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14:paraId="52D65B97" w14:textId="77777777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1A33DDF2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1872D9" w:rsidRPr="00A22864" w14:paraId="464C5728" w14:textId="77777777" w:rsidTr="00501C38">
        <w:trPr>
          <w:trHeight w:val="227"/>
          <w:jc w:val="center"/>
        </w:trPr>
        <w:tc>
          <w:tcPr>
            <w:tcW w:w="3711" w:type="pct"/>
            <w:gridSpan w:val="6"/>
          </w:tcPr>
          <w:p w14:paraId="04847F0F" w14:textId="77777777" w:rsidR="001872D9" w:rsidRPr="00363652" w:rsidRDefault="001872D9" w:rsidP="008F5958">
            <w:r w:rsidRPr="00363652">
              <w:t>Укупан број цитата, без аутоцитата</w:t>
            </w:r>
          </w:p>
        </w:tc>
        <w:tc>
          <w:tcPr>
            <w:tcW w:w="1289" w:type="pct"/>
            <w:gridSpan w:val="3"/>
          </w:tcPr>
          <w:p w14:paraId="6A0B15B3" w14:textId="77777777" w:rsidR="001872D9" w:rsidRPr="00363652" w:rsidRDefault="001872D9" w:rsidP="008F5958">
            <w:r w:rsidRPr="00363652">
              <w:t>&gt; 650</w:t>
            </w:r>
          </w:p>
        </w:tc>
      </w:tr>
      <w:tr w:rsidR="001872D9" w:rsidRPr="00A22864" w14:paraId="01710A28" w14:textId="77777777" w:rsidTr="00501C38">
        <w:trPr>
          <w:trHeight w:val="227"/>
          <w:jc w:val="center"/>
        </w:trPr>
        <w:tc>
          <w:tcPr>
            <w:tcW w:w="3711" w:type="pct"/>
            <w:gridSpan w:val="6"/>
          </w:tcPr>
          <w:p w14:paraId="79B87F48" w14:textId="77777777" w:rsidR="001872D9" w:rsidRPr="00363652" w:rsidRDefault="001872D9" w:rsidP="008F5958">
            <w:r w:rsidRPr="00363652">
              <w:t>Укупан број радова са SCI (или SSCI) листе</w:t>
            </w:r>
          </w:p>
        </w:tc>
        <w:tc>
          <w:tcPr>
            <w:tcW w:w="1289" w:type="pct"/>
            <w:gridSpan w:val="3"/>
          </w:tcPr>
          <w:p w14:paraId="35F7E09F" w14:textId="77777777" w:rsidR="001872D9" w:rsidRPr="00363652" w:rsidRDefault="001872D9" w:rsidP="008F5958">
            <w:r w:rsidRPr="00363652">
              <w:t>&gt; 90</w:t>
            </w:r>
          </w:p>
        </w:tc>
      </w:tr>
      <w:tr w:rsidR="001872D9" w:rsidRPr="00A22864" w14:paraId="7763E826" w14:textId="77777777" w:rsidTr="00501C38">
        <w:trPr>
          <w:trHeight w:val="227"/>
          <w:jc w:val="center"/>
        </w:trPr>
        <w:tc>
          <w:tcPr>
            <w:tcW w:w="3711" w:type="pct"/>
            <w:gridSpan w:val="6"/>
          </w:tcPr>
          <w:p w14:paraId="689F6490" w14:textId="77777777" w:rsidR="001872D9" w:rsidRPr="00363652" w:rsidRDefault="001872D9" w:rsidP="008F5958">
            <w:r w:rsidRPr="00363652">
              <w:t>Тренутно учешће на пројектима</w:t>
            </w:r>
          </w:p>
        </w:tc>
        <w:tc>
          <w:tcPr>
            <w:tcW w:w="175" w:type="pct"/>
          </w:tcPr>
          <w:p w14:paraId="45E1E5D2" w14:textId="77777777" w:rsidR="001872D9" w:rsidRDefault="001872D9" w:rsidP="008F5958">
            <w:r w:rsidRPr="00363652">
              <w:t xml:space="preserve">Домаћи </w:t>
            </w:r>
          </w:p>
          <w:p w14:paraId="063A71C0" w14:textId="77777777" w:rsidR="001872D9" w:rsidRPr="00363652" w:rsidRDefault="001872D9" w:rsidP="008F5958">
            <w:r>
              <w:t>2</w:t>
            </w:r>
          </w:p>
        </w:tc>
        <w:tc>
          <w:tcPr>
            <w:tcW w:w="1114" w:type="pct"/>
            <w:gridSpan w:val="2"/>
          </w:tcPr>
          <w:p w14:paraId="0B2A78AB" w14:textId="77777777" w:rsidR="001872D9" w:rsidRPr="00363652" w:rsidRDefault="001872D9" w:rsidP="008F5958">
            <w:r>
              <w:t>Међународни 3</w:t>
            </w:r>
          </w:p>
        </w:tc>
      </w:tr>
      <w:tr w:rsidR="001872D9" w:rsidRPr="00A22864" w14:paraId="7E94F442" w14:textId="77777777" w:rsidTr="00501C38">
        <w:trPr>
          <w:trHeight w:val="227"/>
          <w:jc w:val="center"/>
        </w:trPr>
        <w:tc>
          <w:tcPr>
            <w:tcW w:w="3711" w:type="pct"/>
            <w:gridSpan w:val="6"/>
            <w:vAlign w:val="center"/>
          </w:tcPr>
          <w:p w14:paraId="4ECDE434" w14:textId="3C31D47F" w:rsidR="001872D9" w:rsidRPr="00C4380E" w:rsidRDefault="001872D9" w:rsidP="008F5958">
            <w:pPr>
              <w:rPr>
                <w:lang w:val="en-US"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1289" w:type="pct"/>
            <w:gridSpan w:val="3"/>
            <w:vAlign w:val="center"/>
          </w:tcPr>
          <w:p w14:paraId="4BB87608" w14:textId="5EB1EDC4" w:rsidR="001872D9" w:rsidRPr="00A22864" w:rsidRDefault="00501C38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Шпанија Мађарска</w:t>
            </w:r>
          </w:p>
        </w:tc>
      </w:tr>
      <w:tr w:rsidR="001872D9" w:rsidRPr="00A22864" w14:paraId="3E7F6807" w14:textId="77777777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36B82A3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1872D9" w:rsidRPr="00A22864" w14:paraId="39CC0F63" w14:textId="77777777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8C6B2F4" w14:textId="77777777"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64770D26" w14:textId="77777777" w:rsidR="001872D9" w:rsidRDefault="001872D9"/>
    <w:sectPr w:rsidR="001872D9" w:rsidSect="006D41C2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952CB" w14:textId="77777777" w:rsidR="00B60B88" w:rsidRDefault="00B60B88" w:rsidP="001872D9">
      <w:r>
        <w:separator/>
      </w:r>
    </w:p>
  </w:endnote>
  <w:endnote w:type="continuationSeparator" w:id="0">
    <w:p w14:paraId="5CE69178" w14:textId="77777777" w:rsidR="00B60B88" w:rsidRDefault="00B60B88" w:rsidP="0018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20E3F" w14:textId="77777777" w:rsidR="00B60B88" w:rsidRDefault="00B60B88" w:rsidP="001872D9">
      <w:r>
        <w:separator/>
      </w:r>
    </w:p>
  </w:footnote>
  <w:footnote w:type="continuationSeparator" w:id="0">
    <w:p w14:paraId="1894E200" w14:textId="77777777" w:rsidR="00B60B88" w:rsidRDefault="00B60B88" w:rsidP="0018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CF77D" w14:textId="77777777" w:rsidR="001872D9" w:rsidRPr="00EF2C9A" w:rsidRDefault="001872D9" w:rsidP="001872D9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  <w:lang w:val="sr-Cyrl-RS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14:paraId="383F28EA" w14:textId="77777777" w:rsidR="001872D9" w:rsidRDefault="001872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D9"/>
    <w:rsid w:val="0008149E"/>
    <w:rsid w:val="000C738A"/>
    <w:rsid w:val="001872D9"/>
    <w:rsid w:val="00422810"/>
    <w:rsid w:val="004E5FF1"/>
    <w:rsid w:val="00501C38"/>
    <w:rsid w:val="00651BAF"/>
    <w:rsid w:val="006A1CD3"/>
    <w:rsid w:val="006D41C2"/>
    <w:rsid w:val="007C38D4"/>
    <w:rsid w:val="00861CDC"/>
    <w:rsid w:val="00A222E2"/>
    <w:rsid w:val="00AB5499"/>
    <w:rsid w:val="00AD4A74"/>
    <w:rsid w:val="00B6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4E63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2D9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2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2D9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872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2D9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Vesna</cp:lastModifiedBy>
  <cp:revision>2</cp:revision>
  <cp:lastPrinted>2021-11-14T13:26:00Z</cp:lastPrinted>
  <dcterms:created xsi:type="dcterms:W3CDTF">2021-11-23T23:49:00Z</dcterms:created>
  <dcterms:modified xsi:type="dcterms:W3CDTF">2021-11-23T23:49:00Z</dcterms:modified>
</cp:coreProperties>
</file>